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spacing w:lineRule="auto" w:line="240" w:before="0" w:after="0"/>
        <w:ind w:firstLine="709"/>
        <w:jc w:val="center"/>
        <w:rPr/>
      </w:pPr>
      <w:r>
        <w:rPr>
          <w:rFonts w:ascii="Times New Roman" w:hAnsi="Times New Roman"/>
          <w:b w:val="false"/>
          <w:bCs w:val="false"/>
          <w:color w:val="000000"/>
          <w:sz w:val="28"/>
          <w:szCs w:val="28"/>
        </w:rPr>
        <w:t xml:space="preserve">Практика осуществления мероприятий по контролю за деятельностью юридических лиц, имеющих лицензии на </w:t>
      </w:r>
      <w:r>
        <w:rPr>
          <w:rFonts w:ascii="Times New Roman" w:hAnsi="Times New Roman"/>
          <w:b w:val="false"/>
          <w:bCs w:val="false"/>
          <w:strike w:val="false"/>
          <w:dstrike w:val="false"/>
          <w:color w:val="auto"/>
          <w:sz w:val="28"/>
          <w:szCs w:val="28"/>
          <w:u w:val="none"/>
          <w:effect w:val="none"/>
        </w:rPr>
        <w:t>хранение и торговл</w:t>
      </w:r>
      <w:r>
        <w:rPr>
          <w:rFonts w:eastAsia="Calibri" w:cs="Times New Roman" w:ascii="Times New Roman" w:hAnsi="Times New Roman" w:eastAsiaTheme="minorHAnsi"/>
          <w:b w:val="false"/>
          <w:bCs w:val="false"/>
          <w:strike w:val="false"/>
          <w:dstrike w:val="false"/>
          <w:color w:val="auto"/>
          <w:kern w:val="0"/>
          <w:sz w:val="28"/>
          <w:szCs w:val="28"/>
          <w:u w:val="none"/>
          <w:effect w:val="none"/>
          <w:lang w:val="ru-RU" w:eastAsia="ru-RU" w:bidi="ar-SA"/>
        </w:rPr>
        <w:t>ю</w:t>
      </w:r>
      <w:r>
        <w:rPr>
          <w:rFonts w:ascii="Times New Roman" w:hAnsi="Times New Roman"/>
          <w:b w:val="false"/>
          <w:bCs w:val="false"/>
          <w:color w:val="auto"/>
          <w:sz w:val="28"/>
          <w:szCs w:val="28"/>
        </w:rPr>
        <w:t xml:space="preserve"> гра</w:t>
      </w:r>
      <w:r>
        <w:rPr>
          <w:rFonts w:ascii="Times New Roman" w:hAnsi="Times New Roman"/>
          <w:b w:val="false"/>
          <w:bCs w:val="false"/>
          <w:color w:val="000000"/>
          <w:sz w:val="28"/>
          <w:szCs w:val="28"/>
        </w:rPr>
        <w:t>жданским</w:t>
        <w:br/>
        <w:t>и служебным оружием и основными частями огнестрельного оружия, патронами к гражданскому и служебному оружию и составными частями патронов в 20</w:t>
      </w:r>
      <w:r>
        <w:rPr>
          <w:rFonts w:eastAsia="Calibri" w:cs="Times New Roman" w:ascii="Times New Roman" w:hAnsi="Times New Roman" w:eastAsiaTheme="minorHAnsi"/>
          <w:b w:val="false"/>
          <w:bCs w:val="false"/>
          <w:color w:val="auto"/>
          <w:kern w:val="0"/>
          <w:sz w:val="28"/>
          <w:szCs w:val="28"/>
          <w:lang w:val="ru-RU" w:eastAsia="ru-RU" w:bidi="ar-SA"/>
        </w:rPr>
        <w:t xml:space="preserve">23 </w:t>
      </w:r>
      <w:r>
        <w:rPr>
          <w:rFonts w:ascii="Times New Roman" w:hAnsi="Times New Roman"/>
          <w:b w:val="false"/>
          <w:bCs w:val="false"/>
          <w:color w:val="000000"/>
          <w:sz w:val="28"/>
          <w:szCs w:val="28"/>
        </w:rPr>
        <w:t>году и характерные нарушения обязательных требований, допущенных подконтрольными субъектами при осуществлении лицензионной деятельности</w:t>
      </w:r>
    </w:p>
    <w:p>
      <w:pPr>
        <w:pStyle w:val="Normal"/>
        <w:widowControl w:val="false"/>
        <w:suppressAutoHyphens w:val="true"/>
        <w:spacing w:lineRule="auto" w:line="240" w:before="0" w:after="0"/>
        <w:ind w:firstLine="709"/>
        <w:jc w:val="center"/>
        <w:rPr>
          <w:rFonts w:ascii="Times New Roman" w:hAnsi="Times New Roman"/>
          <w:b/>
          <w:b/>
          <w:sz w:val="28"/>
          <w:szCs w:val="28"/>
        </w:rPr>
      </w:pPr>
      <w:r>
        <w:rPr>
          <w:rFonts w:ascii="Times New Roman" w:hAnsi="Times New Roman"/>
          <w:b/>
          <w:sz w:val="28"/>
          <w:szCs w:val="28"/>
        </w:rPr>
      </w:r>
    </w:p>
    <w:p>
      <w:pPr>
        <w:pStyle w:val="Style36"/>
        <w:widowControl/>
        <w:tabs>
          <w:tab w:val="clear" w:pos="708"/>
          <w:tab w:val="left" w:pos="142" w:leader="none"/>
        </w:tabs>
        <w:suppressAutoHyphens w:val="true"/>
        <w:bidi w:val="0"/>
        <w:spacing w:lineRule="auto" w:line="240" w:before="0" w:after="0"/>
        <w:ind w:left="0" w:right="0" w:firstLine="680"/>
        <w:jc w:val="both"/>
        <w:rPr/>
      </w:pPr>
      <w:r>
        <w:rPr>
          <w:rFonts w:ascii="Times New Roman" w:hAnsi="Times New Roman"/>
          <w:sz w:val="28"/>
          <w:szCs w:val="28"/>
        </w:rPr>
        <w:t xml:space="preserve">На учете в подразделениях лицензионно-разрешительной работы Управления Росгвардии по Кировской области зарегистрировано 12 юридических лиц, имеющих лицензии на  </w:t>
      </w:r>
      <w:r>
        <w:rPr>
          <w:rFonts w:ascii="Times New Roman" w:hAnsi="Times New Roman"/>
          <w:b w:val="false"/>
          <w:strike w:val="false"/>
          <w:dstrike w:val="false"/>
          <w:color w:val="auto"/>
          <w:sz w:val="28"/>
          <w:szCs w:val="28"/>
          <w:u w:val="none"/>
          <w:effect w:val="none"/>
        </w:rPr>
        <w:t>хранение и торговл</w:t>
      </w:r>
      <w:r>
        <w:rPr>
          <w:rFonts w:eastAsia="Calibri" w:cs="Times New Roman" w:ascii="Times New Roman" w:hAnsi="Times New Roman" w:eastAsiaTheme="minorHAnsi"/>
          <w:b w:val="false"/>
          <w:strike w:val="false"/>
          <w:dstrike w:val="false"/>
          <w:color w:val="auto"/>
          <w:kern w:val="0"/>
          <w:sz w:val="28"/>
          <w:szCs w:val="28"/>
          <w:u w:val="none"/>
          <w:effect w:val="none"/>
          <w:lang w:val="ru-RU" w:eastAsia="ru-RU" w:bidi="ar-SA"/>
        </w:rPr>
        <w:t>ю</w:t>
      </w:r>
      <w:r>
        <w:rPr>
          <w:rFonts w:ascii="Times New Roman" w:hAnsi="Times New Roman"/>
          <w:b w:val="false"/>
          <w:color w:val="auto"/>
          <w:sz w:val="28"/>
          <w:szCs w:val="28"/>
        </w:rPr>
        <w:t xml:space="preserve"> гра</w:t>
      </w:r>
      <w:r>
        <w:rPr>
          <w:rFonts w:ascii="Times New Roman" w:hAnsi="Times New Roman"/>
          <w:b w:val="false"/>
          <w:sz w:val="28"/>
          <w:szCs w:val="28"/>
        </w:rPr>
        <w:t>жданским    и служебным оружием и основными частями огнестрельного оружия, патронами к гражданскому и служебному оружию и составными частями патронов</w:t>
      </w:r>
      <w:r>
        <w:rPr>
          <w:rFonts w:ascii="Times New Roman" w:hAnsi="Times New Roman"/>
          <w:sz w:val="28"/>
          <w:szCs w:val="28"/>
        </w:rPr>
        <w:t>.</w:t>
      </w:r>
    </w:p>
    <w:p>
      <w:pPr>
        <w:pStyle w:val="Style36"/>
        <w:widowControl/>
        <w:tabs>
          <w:tab w:val="clear" w:pos="708"/>
          <w:tab w:val="left" w:pos="142" w:leader="none"/>
        </w:tabs>
        <w:suppressAutoHyphens w:val="true"/>
        <w:bidi w:val="0"/>
        <w:spacing w:lineRule="auto" w:line="240" w:before="0" w:after="0"/>
        <w:ind w:left="0" w:right="0" w:firstLine="680"/>
        <w:jc w:val="both"/>
        <w:rPr/>
      </w:pPr>
      <w:r>
        <w:rPr>
          <w:rFonts w:ascii="Times New Roman" w:hAnsi="Times New Roman"/>
          <w:sz w:val="28"/>
          <w:szCs w:val="28"/>
        </w:rPr>
        <w:t xml:space="preserve">Из них: </w:t>
      </w:r>
      <w:r>
        <w:rPr>
          <w:rFonts w:eastAsia="Calibri" w:cs="Times New Roman" w:ascii="Times New Roman" w:hAnsi="Times New Roman" w:eastAsiaTheme="minorHAnsi"/>
          <w:color w:val="auto"/>
          <w:kern w:val="0"/>
          <w:sz w:val="28"/>
          <w:szCs w:val="28"/>
          <w:lang w:val="ru-RU" w:eastAsia="ru-RU" w:bidi="ar-SA"/>
        </w:rPr>
        <w:t xml:space="preserve">восемь </w:t>
      </w:r>
      <w:r>
        <w:rPr>
          <w:rFonts w:ascii="Times New Roman" w:hAnsi="Times New Roman"/>
          <w:sz w:val="28"/>
          <w:szCs w:val="28"/>
        </w:rPr>
        <w:t xml:space="preserve">юридических лиц, осуществляющих выполнение работ (услуг) по торговле гражданским и служебным оружием (его основными частями) и патронами (их составными частями); </w:t>
      </w:r>
      <w:r>
        <w:rPr>
          <w:rFonts w:eastAsia="Calibri" w:cs="Times New Roman" w:ascii="Times New Roman" w:hAnsi="Times New Roman" w:eastAsiaTheme="minorHAnsi"/>
          <w:color w:val="auto"/>
          <w:kern w:val="0"/>
          <w:sz w:val="28"/>
          <w:szCs w:val="28"/>
          <w:lang w:val="ru-RU" w:eastAsia="ru-RU" w:bidi="ar-SA"/>
        </w:rPr>
        <w:t>три</w:t>
      </w:r>
      <w:r>
        <w:rPr>
          <w:rFonts w:ascii="Times New Roman" w:hAnsi="Times New Roman"/>
          <w:sz w:val="28"/>
          <w:szCs w:val="28"/>
        </w:rPr>
        <w:t xml:space="preserve"> юридических лица осуществляющих выполнение работ (услуг) по торговле патронами</w:t>
        <w:br/>
        <w:t xml:space="preserve">(их составными частями); </w:t>
      </w:r>
      <w:r>
        <w:rPr>
          <w:rFonts w:eastAsia="Calibri" w:cs="Times New Roman" w:ascii="Times New Roman" w:hAnsi="Times New Roman" w:eastAsiaTheme="minorHAnsi"/>
          <w:color w:val="auto"/>
          <w:kern w:val="0"/>
          <w:sz w:val="28"/>
          <w:szCs w:val="28"/>
          <w:lang w:val="ru-RU" w:eastAsia="ru-RU" w:bidi="ar-SA"/>
        </w:rPr>
        <w:t>одно</w:t>
      </w:r>
      <w:r>
        <w:rPr>
          <w:rFonts w:ascii="Times New Roman" w:hAnsi="Times New Roman"/>
          <w:sz w:val="28"/>
          <w:szCs w:val="28"/>
        </w:rPr>
        <w:t xml:space="preserve"> юридическое лицо, осуществляющее выполнение работ (услуг) по торговле гражданским и служебным оружием</w:t>
        <w:br/>
        <w:t xml:space="preserve">(его основными частями) и </w:t>
      </w:r>
      <w:r>
        <w:rPr>
          <w:rFonts w:eastAsia="Calibri" w:cs="Times New Roman" w:ascii="Times New Roman" w:hAnsi="Times New Roman" w:eastAsiaTheme="minorHAnsi"/>
          <w:color w:val="auto"/>
          <w:kern w:val="0"/>
          <w:sz w:val="28"/>
          <w:szCs w:val="28"/>
          <w:lang w:val="ru-RU" w:eastAsia="ru-RU" w:bidi="ar-SA"/>
        </w:rPr>
        <w:t>два</w:t>
      </w:r>
      <w:r>
        <w:rPr>
          <w:rFonts w:ascii="Times New Roman" w:hAnsi="Times New Roman"/>
          <w:sz w:val="28"/>
          <w:szCs w:val="28"/>
        </w:rPr>
        <w:t xml:space="preserve"> юридическ</w:t>
      </w:r>
      <w:r>
        <w:rPr>
          <w:rFonts w:eastAsia="Calibri" w:cs="Times New Roman" w:ascii="Times New Roman" w:hAnsi="Times New Roman" w:eastAsiaTheme="minorHAnsi"/>
          <w:color w:val="auto"/>
          <w:kern w:val="0"/>
          <w:sz w:val="28"/>
          <w:szCs w:val="28"/>
          <w:lang w:val="ru-RU" w:eastAsia="ru-RU" w:bidi="ar-SA"/>
        </w:rPr>
        <w:t>их</w:t>
      </w:r>
      <w:r>
        <w:rPr>
          <w:rFonts w:ascii="Times New Roman" w:hAnsi="Times New Roman"/>
          <w:sz w:val="28"/>
          <w:szCs w:val="28"/>
        </w:rPr>
        <w:t xml:space="preserve"> лиц</w:t>
      </w:r>
      <w:r>
        <w:rPr>
          <w:rFonts w:eastAsia="Calibri" w:cs="Times New Roman" w:ascii="Times New Roman" w:hAnsi="Times New Roman" w:eastAsiaTheme="minorHAnsi"/>
          <w:color w:val="auto"/>
          <w:kern w:val="0"/>
          <w:sz w:val="28"/>
          <w:szCs w:val="28"/>
          <w:lang w:val="ru-RU" w:eastAsia="ru-RU" w:bidi="ar-SA"/>
        </w:rPr>
        <w:t>а</w:t>
      </w:r>
      <w:r>
        <w:rPr>
          <w:rFonts w:ascii="Times New Roman" w:hAnsi="Times New Roman"/>
          <w:sz w:val="28"/>
          <w:szCs w:val="28"/>
        </w:rPr>
        <w:t>, осуществляющ</w:t>
      </w:r>
      <w:r>
        <w:rPr>
          <w:rFonts w:eastAsia="Calibri" w:cs="Times New Roman" w:ascii="Times New Roman" w:hAnsi="Times New Roman" w:eastAsiaTheme="minorHAnsi"/>
          <w:color w:val="auto"/>
          <w:kern w:val="0"/>
          <w:sz w:val="28"/>
          <w:szCs w:val="28"/>
          <w:lang w:val="ru-RU" w:eastAsia="ru-RU" w:bidi="ar-SA"/>
        </w:rPr>
        <w:t>их</w:t>
      </w:r>
      <w:r>
        <w:rPr>
          <w:rFonts w:ascii="Times New Roman" w:hAnsi="Times New Roman"/>
          <w:sz w:val="28"/>
          <w:szCs w:val="28"/>
        </w:rPr>
        <w:t xml:space="preserve"> выполнение работ (услуг) по хранению гражданского оружия и патронов.</w:t>
      </w:r>
    </w:p>
    <w:p>
      <w:pPr>
        <w:pStyle w:val="Style36"/>
        <w:widowControl/>
        <w:tabs>
          <w:tab w:val="clear" w:pos="708"/>
          <w:tab w:val="left" w:pos="142" w:leader="none"/>
        </w:tabs>
        <w:suppressAutoHyphens w:val="true"/>
        <w:bidi w:val="0"/>
        <w:spacing w:lineRule="auto" w:line="240" w:before="0" w:after="0"/>
        <w:ind w:left="0" w:right="0" w:firstLine="680"/>
        <w:jc w:val="both"/>
        <w:rPr/>
      </w:pPr>
      <w:r>
        <w:rPr>
          <w:rFonts w:ascii="Times New Roman" w:hAnsi="Times New Roman"/>
          <w:sz w:val="28"/>
          <w:szCs w:val="28"/>
        </w:rPr>
        <w:t>Сотрудниками центр</w:t>
      </w:r>
      <w:r>
        <w:rPr>
          <w:rFonts w:eastAsia="Calibri" w:cs="Times New Roman" w:ascii="Times New Roman" w:hAnsi="Times New Roman" w:eastAsiaTheme="minorHAnsi"/>
          <w:color w:val="auto"/>
          <w:kern w:val="0"/>
          <w:sz w:val="28"/>
          <w:szCs w:val="28"/>
          <w:lang w:val="ru-RU" w:eastAsia="ru-RU" w:bidi="ar-SA"/>
        </w:rPr>
        <w:t>а</w:t>
      </w:r>
      <w:r>
        <w:rPr>
          <w:rFonts w:ascii="Times New Roman" w:hAnsi="Times New Roman"/>
          <w:sz w:val="28"/>
          <w:szCs w:val="28"/>
        </w:rPr>
        <w:t xml:space="preserve"> лицензионно-разрешительной работы Управления Росгвардии по Кировской области при реализации программы профилактики нарушений обязательных требований законодательства Российской Федерации при проведении мероприятий по лицензионному контролю за деятельностью юридических лиц, осуществляющих выполнение работ (услуг) по хранению      и по торговле гражданским и служебным оружием (его основными частями)     и патронами (их составными частями) в </w:t>
      </w:r>
      <w:r>
        <w:rPr>
          <w:rFonts w:eastAsia="Calibri" w:cs="Times New Roman" w:ascii="Times New Roman" w:hAnsi="Times New Roman" w:eastAsiaTheme="minorHAnsi"/>
          <w:color w:val="auto"/>
          <w:kern w:val="0"/>
          <w:sz w:val="28"/>
          <w:szCs w:val="28"/>
          <w:lang w:val="ru-RU" w:eastAsia="ru-RU" w:bidi="ar-SA"/>
        </w:rPr>
        <w:t xml:space="preserve">2023 </w:t>
      </w:r>
      <w:r>
        <w:rPr>
          <w:rFonts w:ascii="Times New Roman" w:hAnsi="Times New Roman"/>
          <w:sz w:val="28"/>
          <w:szCs w:val="28"/>
        </w:rPr>
        <w:t>год</w:t>
      </w:r>
      <w:r>
        <w:rPr>
          <w:rFonts w:eastAsia="Calibri" w:cs="Times New Roman" w:ascii="Times New Roman" w:hAnsi="Times New Roman" w:eastAsiaTheme="minorHAnsi"/>
          <w:color w:val="auto"/>
          <w:kern w:val="0"/>
          <w:sz w:val="28"/>
          <w:szCs w:val="28"/>
          <w:lang w:val="ru-RU" w:eastAsia="ru-RU" w:bidi="ar-SA"/>
        </w:rPr>
        <w:t>у</w:t>
      </w:r>
      <w:r>
        <w:rPr>
          <w:rFonts w:ascii="Times New Roman" w:hAnsi="Times New Roman"/>
          <w:sz w:val="28"/>
          <w:szCs w:val="28"/>
        </w:rPr>
        <w:t xml:space="preserve"> проводились консультации                 с подконтрольными субъектами по разъяснению обязательных требований         в установленной сфере.</w:t>
      </w:r>
    </w:p>
    <w:p>
      <w:pPr>
        <w:pStyle w:val="Style36"/>
        <w:widowControl/>
        <w:tabs>
          <w:tab w:val="clear" w:pos="708"/>
          <w:tab w:val="left" w:pos="142" w:leader="none"/>
        </w:tabs>
        <w:bidi w:val="0"/>
        <w:spacing w:lineRule="auto" w:line="240" w:before="0" w:after="0"/>
        <w:ind w:left="0" w:right="0" w:firstLine="567"/>
        <w:jc w:val="both"/>
        <w:rPr/>
      </w:pPr>
      <w:r>
        <w:rPr>
          <w:rFonts w:eastAsia="Calibri" w:cs="Times New Roman" w:ascii="Times New Roman" w:hAnsi="Times New Roman" w:eastAsiaTheme="minorHAnsi"/>
          <w:color w:val="auto"/>
          <w:kern w:val="0"/>
          <w:sz w:val="28"/>
          <w:szCs w:val="28"/>
          <w:lang w:val="ru-RU" w:eastAsia="ru-RU" w:bidi="ar-SA"/>
        </w:rPr>
        <w:t>На 2023 год было запланировано проведение 6 мероприятий по контролю за соблюдением лицензиатами лицензионных требований, но в связи</w:t>
        <w:br/>
        <w:t>с прекращением деятельности одним юридическим лицом проведено 5 плановых проверок.</w:t>
      </w:r>
    </w:p>
    <w:p>
      <w:pPr>
        <w:pStyle w:val="Style36"/>
        <w:widowControl/>
        <w:tabs>
          <w:tab w:val="clear" w:pos="708"/>
          <w:tab w:val="left" w:pos="142" w:leader="none"/>
        </w:tabs>
        <w:bidi w:val="0"/>
        <w:spacing w:lineRule="auto" w:line="240" w:before="0" w:after="0"/>
        <w:ind w:left="0" w:right="0" w:firstLine="567"/>
        <w:jc w:val="both"/>
        <w:rPr/>
      </w:pPr>
      <w:r>
        <w:rPr>
          <w:rFonts w:eastAsia="Calibri" w:cs="Times New Roman" w:ascii="Times New Roman" w:hAnsi="Times New Roman" w:eastAsiaTheme="minorHAnsi"/>
          <w:color w:val="auto"/>
          <w:kern w:val="0"/>
          <w:sz w:val="28"/>
          <w:szCs w:val="28"/>
          <w:lang w:val="ru-RU" w:eastAsia="ru-RU" w:bidi="ar-SA"/>
        </w:rPr>
        <w:t>В ходе проверок выявлено 4 административных правонарушения, составлено 4 протокола об административном правонарушении (1 в отношении юридического лица, 3 в отношении должностных лиц). Руководителям 2 юридических лиц выданы предписания об устранении выявленных нарушений.  Проведены 2 внеплановые проверки в целях контроля устранения выявленных ранее нарушений.</w:t>
      </w:r>
    </w:p>
    <w:p>
      <w:pPr>
        <w:pStyle w:val="Style36"/>
        <w:widowControl/>
        <w:tabs>
          <w:tab w:val="clear" w:pos="708"/>
          <w:tab w:val="left" w:pos="142" w:leader="none"/>
        </w:tabs>
        <w:bidi w:val="0"/>
        <w:spacing w:lineRule="auto" w:line="240" w:before="0" w:after="0"/>
        <w:ind w:left="0" w:right="0" w:firstLine="567"/>
        <w:jc w:val="both"/>
        <w:rPr/>
      </w:pPr>
      <w:r>
        <w:rPr>
          <w:rFonts w:eastAsia="Calibri" w:cs="Times New Roman" w:ascii="Times New Roman" w:hAnsi="Times New Roman" w:eastAsiaTheme="minorHAnsi"/>
          <w:color w:val="auto"/>
          <w:kern w:val="0"/>
          <w:sz w:val="28"/>
          <w:szCs w:val="28"/>
          <w:lang w:val="ru-RU" w:eastAsia="ru-RU" w:bidi="ar-SA"/>
        </w:rPr>
        <w:t xml:space="preserve">Действие одной лицензии на </w:t>
      </w:r>
      <w:r>
        <w:rPr>
          <w:rFonts w:eastAsia="Calibri" w:cs="Times New Roman" w:ascii="Times New Roman" w:hAnsi="Times New Roman"/>
          <w:b w:val="false"/>
          <w:strike w:val="false"/>
          <w:dstrike w:val="false"/>
          <w:color w:val="auto"/>
          <w:kern w:val="0"/>
          <w:sz w:val="28"/>
          <w:szCs w:val="28"/>
          <w:u w:val="none"/>
          <w:effect w:val="none"/>
          <w:lang w:val="ru-RU" w:eastAsia="ru-RU" w:bidi="ar-SA"/>
        </w:rPr>
        <w:t>хранение и торговл</w:t>
      </w:r>
      <w:r>
        <w:rPr>
          <w:rFonts w:eastAsia="Calibri" w:cs="Times New Roman" w:ascii="Times New Roman" w:hAnsi="Times New Roman" w:eastAsiaTheme="minorHAnsi"/>
          <w:b w:val="false"/>
          <w:strike w:val="false"/>
          <w:dstrike w:val="false"/>
          <w:color w:val="auto"/>
          <w:kern w:val="0"/>
          <w:sz w:val="28"/>
          <w:szCs w:val="28"/>
          <w:u w:val="none"/>
          <w:effect w:val="none"/>
          <w:lang w:val="ru-RU" w:eastAsia="ru-RU" w:bidi="ar-SA"/>
        </w:rPr>
        <w:t>ю</w:t>
      </w:r>
      <w:r>
        <w:rPr>
          <w:rFonts w:eastAsia="Calibri" w:cs="Times New Roman" w:ascii="Times New Roman" w:hAnsi="Times New Roman"/>
          <w:b w:val="false"/>
          <w:color w:val="auto"/>
          <w:kern w:val="0"/>
          <w:sz w:val="28"/>
          <w:szCs w:val="28"/>
          <w:lang w:val="ru-RU" w:eastAsia="ru-RU" w:bidi="ar-SA"/>
        </w:rPr>
        <w:t xml:space="preserve"> гра</w:t>
      </w:r>
      <w:r>
        <w:rPr>
          <w:rFonts w:eastAsia="Calibri" w:cs="Times New Roman" w:ascii="Times New Roman" w:hAnsi="Times New Roman" w:eastAsiaTheme="minorHAnsi"/>
          <w:b w:val="false"/>
          <w:color w:val="auto"/>
          <w:kern w:val="0"/>
          <w:sz w:val="28"/>
          <w:szCs w:val="28"/>
          <w:lang w:val="ru-RU" w:eastAsia="ru-RU" w:bidi="ar-SA"/>
        </w:rPr>
        <w:t>жданским</w:t>
        <w:br/>
        <w:t xml:space="preserve">и служебным оружием и основными частями огнестрельного оружия, патронами к гражданскому и служебному оружию и составными частями патронов </w:t>
      </w:r>
      <w:r>
        <w:rPr>
          <w:rFonts w:eastAsia="Calibri" w:cs="Times New Roman" w:ascii="Times New Roman" w:hAnsi="Times New Roman" w:eastAsiaTheme="minorHAnsi"/>
          <w:color w:val="auto"/>
          <w:kern w:val="0"/>
          <w:sz w:val="28"/>
          <w:szCs w:val="28"/>
          <w:lang w:val="ru-RU" w:eastAsia="ru-RU" w:bidi="ar-SA"/>
        </w:rPr>
        <w:t>прекращено по просьбе юридического лица.</w:t>
      </w:r>
    </w:p>
    <w:p>
      <w:pPr>
        <w:pStyle w:val="Style36"/>
        <w:widowControl/>
        <w:tabs>
          <w:tab w:val="clear" w:pos="708"/>
          <w:tab w:val="left" w:pos="142" w:leader="none"/>
        </w:tabs>
        <w:bidi w:val="0"/>
        <w:spacing w:lineRule="auto" w:line="240" w:before="0" w:after="0"/>
        <w:ind w:left="0" w:right="0" w:firstLine="567"/>
        <w:jc w:val="both"/>
        <w:rPr/>
      </w:pPr>
      <w:r>
        <w:rPr>
          <w:rFonts w:ascii="Times New Roman" w:hAnsi="Times New Roman"/>
          <w:sz w:val="28"/>
          <w:szCs w:val="28"/>
        </w:rPr>
        <w:t>Наиболее характерны</w:t>
      </w:r>
      <w:r>
        <w:rPr>
          <w:rFonts w:eastAsia="Calibri" w:cs="Times New Roman" w:ascii="Times New Roman" w:hAnsi="Times New Roman" w:eastAsiaTheme="minorHAnsi"/>
          <w:color w:val="auto"/>
          <w:kern w:val="0"/>
          <w:sz w:val="28"/>
          <w:szCs w:val="28"/>
          <w:lang w:val="ru-RU" w:eastAsia="ru-RU" w:bidi="ar-SA"/>
        </w:rPr>
        <w:t>е</w:t>
      </w:r>
      <w:r>
        <w:rPr>
          <w:rFonts w:ascii="Times New Roman" w:hAnsi="Times New Roman"/>
          <w:sz w:val="28"/>
          <w:szCs w:val="28"/>
        </w:rPr>
        <w:t xml:space="preserve"> нарушения, выявленные при проведении проверок: </w:t>
      </w:r>
      <w:r>
        <w:rPr>
          <w:rFonts w:eastAsia="Times New Roman" w:cs="Times New Roman" w:ascii="Times New Roman" w:hAnsi="Times New Roman"/>
          <w:b w:val="false"/>
          <w:bCs w:val="false"/>
          <w:color w:val="000000"/>
          <w:kern w:val="0"/>
          <w:sz w:val="28"/>
          <w:szCs w:val="28"/>
          <w:u w:val="none"/>
          <w:lang w:val="ru-RU" w:eastAsia="ar-SA" w:bidi="ar-SA"/>
        </w:rPr>
        <w:t>в</w:t>
      </w:r>
      <w:r>
        <w:rPr>
          <w:rFonts w:eastAsia="Times New Roman" w:cs="Times New Roman" w:ascii="Times New Roman" w:hAnsi="Times New Roman"/>
          <w:b w:val="false"/>
          <w:bCs w:val="false"/>
          <w:color w:val="auto"/>
          <w:kern w:val="0"/>
          <w:sz w:val="28"/>
          <w:szCs w:val="28"/>
          <w:u w:val="none"/>
          <w:lang w:val="ru-RU" w:eastAsia="ru-RU" w:bidi="ar-SA"/>
        </w:rPr>
        <w:t xml:space="preserve"> учетных документах сведения об оружии и патронах записывались без указания их типа и вида; </w:t>
      </w:r>
      <w:r>
        <w:rPr>
          <w:rFonts w:eastAsia="Times New Roman" w:cs="Times New Roman" w:ascii="Times New Roman" w:hAnsi="Times New Roman"/>
          <w:b w:val="false"/>
          <w:color w:val="000000"/>
          <w:kern w:val="0"/>
          <w:sz w:val="28"/>
          <w:szCs w:val="28"/>
          <w:u w:val="none"/>
          <w:lang w:eastAsia="ar-SA"/>
        </w:rPr>
        <w:t xml:space="preserve">ежеквартальные сверки </w:t>
      </w:r>
      <w:r>
        <w:rPr>
          <w:rFonts w:eastAsia="Times New Roman" w:cs="Times New Roman" w:ascii="Times New Roman" w:hAnsi="Times New Roman"/>
          <w:b w:val="false"/>
          <w:sz w:val="28"/>
          <w:szCs w:val="28"/>
          <w:u w:val="none"/>
        </w:rPr>
        <w:t>соответствия фактического наличия оружия и патронов учетным данным, провод</w:t>
      </w:r>
      <w:r>
        <w:rPr>
          <w:rFonts w:eastAsia="Times New Roman" w:cs="Times New Roman" w:ascii="Times New Roman" w:hAnsi="Times New Roman"/>
          <w:b w:val="false"/>
          <w:color w:val="auto"/>
          <w:kern w:val="0"/>
          <w:sz w:val="28"/>
          <w:szCs w:val="28"/>
          <w:u w:val="none"/>
          <w:lang w:val="ru-RU" w:eastAsia="ru-RU" w:bidi="ar-SA"/>
        </w:rPr>
        <w:t>ились</w:t>
      </w:r>
      <w:r>
        <w:rPr>
          <w:rFonts w:eastAsia="Times New Roman" w:cs="Times New Roman" w:ascii="Times New Roman" w:hAnsi="Times New Roman"/>
          <w:b w:val="false"/>
          <w:sz w:val="28"/>
          <w:szCs w:val="28"/>
          <w:u w:val="none"/>
        </w:rPr>
        <w:t xml:space="preserve"> не по всем имеющимся книгам, журналам и иным учетным документам; перед проведением сверок в реестрах, книгах и журналах учета оружия и патронов итоги не подводятся, подписями лиц, ответственных за сохранность оружия</w:t>
        <w:br/>
        <w:t>и патронов не заверяются;</w:t>
      </w:r>
      <w:r>
        <w:rPr>
          <w:rFonts w:eastAsia="Times New Roman" w:cs="Times New Roman" w:ascii="Times New Roman" w:hAnsi="Times New Roman"/>
          <w:b w:val="false"/>
          <w:color w:val="000000"/>
          <w:kern w:val="0"/>
          <w:sz w:val="28"/>
          <w:szCs w:val="28"/>
          <w:u w:val="none"/>
          <w:lang w:eastAsia="ar-SA"/>
        </w:rPr>
        <w:t xml:space="preserve"> </w:t>
      </w:r>
      <w:r>
        <w:rPr>
          <w:rFonts w:eastAsia="Times New Roman" w:cs="Times New Roman" w:ascii="Times New Roman" w:hAnsi="Times New Roman"/>
          <w:b w:val="false"/>
          <w:sz w:val="28"/>
          <w:szCs w:val="28"/>
          <w:u w:val="none"/>
          <w:lang w:eastAsia="ar-SA"/>
        </w:rPr>
        <w:t>лиц</w:t>
      </w:r>
      <w:r>
        <w:rPr>
          <w:rFonts w:eastAsia="Times New Roman" w:cs="Times New Roman" w:ascii="Times New Roman" w:hAnsi="Times New Roman"/>
          <w:b w:val="false"/>
          <w:color w:val="000000"/>
          <w:sz w:val="28"/>
          <w:szCs w:val="28"/>
          <w:u w:val="none"/>
          <w:lang w:eastAsia="ar-SA"/>
        </w:rPr>
        <w:t>а</w:t>
      </w:r>
      <w:r>
        <w:rPr>
          <w:rFonts w:eastAsia="Times New Roman" w:cs="Times New Roman" w:ascii="Times New Roman" w:hAnsi="Times New Roman"/>
          <w:b w:val="false"/>
          <w:sz w:val="28"/>
          <w:szCs w:val="28"/>
          <w:u w:val="none"/>
          <w:lang w:eastAsia="ar-SA"/>
        </w:rPr>
        <w:t>ми, ответственным за сохранность оружия</w:t>
        <w:br/>
        <w:t>и патронов, не осуществл</w:t>
      </w:r>
      <w:r>
        <w:rPr>
          <w:rFonts w:eastAsia="Times New Roman" w:cs="Times New Roman" w:ascii="Times New Roman" w:hAnsi="Times New Roman"/>
          <w:b w:val="false"/>
          <w:color w:val="auto"/>
          <w:kern w:val="0"/>
          <w:sz w:val="28"/>
          <w:szCs w:val="28"/>
          <w:u w:val="none"/>
          <w:lang w:val="ru-RU" w:eastAsia="ar-SA" w:bidi="ar-SA"/>
        </w:rPr>
        <w:t>яется</w:t>
      </w:r>
      <w:r>
        <w:rPr>
          <w:rFonts w:eastAsia="Times New Roman" w:cs="Times New Roman" w:ascii="Times New Roman" w:hAnsi="Times New Roman"/>
          <w:b w:val="false"/>
          <w:sz w:val="28"/>
          <w:szCs w:val="28"/>
          <w:u w:val="none"/>
          <w:lang w:eastAsia="ar-SA"/>
        </w:rPr>
        <w:t xml:space="preserve"> проводка всех оконченных операций</w:t>
        <w:br/>
        <w:t>по движению оружия и патронов и не выв</w:t>
      </w:r>
      <w:r>
        <w:rPr>
          <w:rFonts w:eastAsia="Times New Roman" w:cs="Times New Roman" w:ascii="Times New Roman" w:hAnsi="Times New Roman"/>
          <w:b w:val="false"/>
          <w:color w:val="auto"/>
          <w:kern w:val="0"/>
          <w:sz w:val="28"/>
          <w:szCs w:val="28"/>
          <w:u w:val="none"/>
          <w:lang w:val="ru-RU" w:eastAsia="ar-SA" w:bidi="ar-SA"/>
        </w:rPr>
        <w:t>одятся</w:t>
      </w:r>
      <w:r>
        <w:rPr>
          <w:rFonts w:eastAsia="Times New Roman" w:cs="Times New Roman" w:ascii="Times New Roman" w:hAnsi="Times New Roman"/>
          <w:b w:val="false"/>
          <w:sz w:val="28"/>
          <w:szCs w:val="28"/>
          <w:u w:val="none"/>
          <w:lang w:eastAsia="ar-SA"/>
        </w:rPr>
        <w:t xml:space="preserve"> их остатки в книгах учета</w:t>
        <w:br/>
        <w:t xml:space="preserve">с заверением собственной подписью на день инвентаризации; </w:t>
      </w:r>
      <w:r>
        <w:rPr>
          <w:rFonts w:eastAsia="Times New Roman" w:cs="Times New Roman" w:ascii="Times New Roman" w:hAnsi="Times New Roman"/>
          <w:b w:val="false"/>
          <w:color w:val="auto"/>
          <w:kern w:val="0"/>
          <w:sz w:val="28"/>
          <w:szCs w:val="28"/>
          <w:u w:val="none"/>
          <w:lang w:val="ru-RU" w:eastAsia="ar-SA" w:bidi="ar-SA"/>
        </w:rPr>
        <w:t>отсутствуют</w:t>
      </w:r>
      <w:r>
        <w:rPr>
          <w:rFonts w:eastAsia="Times New Roman" w:cs="Times New Roman" w:ascii="Times New Roman" w:hAnsi="Times New Roman"/>
          <w:b w:val="false"/>
          <w:sz w:val="28"/>
          <w:szCs w:val="28"/>
          <w:u w:val="none"/>
        </w:rPr>
        <w:t xml:space="preserve"> сертификат</w:t>
      </w:r>
      <w:r>
        <w:rPr>
          <w:rFonts w:eastAsia="Times New Roman" w:cs="Times New Roman" w:ascii="Times New Roman" w:hAnsi="Times New Roman"/>
          <w:b w:val="false"/>
          <w:color w:val="auto"/>
          <w:kern w:val="0"/>
          <w:sz w:val="28"/>
          <w:szCs w:val="28"/>
          <w:u w:val="none"/>
          <w:lang w:val="ru-RU" w:eastAsia="ru-RU" w:bidi="ar-SA"/>
        </w:rPr>
        <w:t>ы</w:t>
      </w:r>
      <w:r>
        <w:rPr>
          <w:rFonts w:eastAsia="Times New Roman" w:cs="Times New Roman" w:ascii="Times New Roman" w:hAnsi="Times New Roman"/>
          <w:b w:val="false"/>
          <w:sz w:val="28"/>
          <w:szCs w:val="28"/>
          <w:u w:val="none"/>
        </w:rPr>
        <w:t xml:space="preserve"> соответствия или деклараций о соответствии продаваемого гражданского и служебного оружия и патронов к нему;</w:t>
      </w:r>
      <w:r>
        <w:rPr>
          <w:rFonts w:cs="Times New Roman" w:ascii="Times New Roman" w:hAnsi="Times New Roman"/>
          <w:b w:val="false"/>
          <w:bCs w:val="false"/>
          <w:color w:val="000000"/>
          <w:kern w:val="0"/>
          <w:sz w:val="28"/>
          <w:szCs w:val="28"/>
          <w:u w:val="none"/>
          <w:lang w:bidi="ar-SA"/>
        </w:rPr>
        <w:t xml:space="preserve"> записи в документ</w:t>
      </w:r>
      <w:r>
        <w:rPr>
          <w:rFonts w:eastAsia="Calibri" w:cs="Times New Roman" w:ascii="Times New Roman" w:hAnsi="Times New Roman"/>
          <w:b w:val="false"/>
          <w:bCs w:val="false"/>
          <w:color w:val="000000"/>
          <w:kern w:val="0"/>
          <w:sz w:val="28"/>
          <w:szCs w:val="28"/>
          <w:u w:val="none"/>
          <w:lang w:val="ru-RU" w:eastAsia="ru-RU" w:bidi="ar-SA"/>
        </w:rPr>
        <w:t>ах</w:t>
      </w:r>
      <w:r>
        <w:rPr>
          <w:rFonts w:cs="Times New Roman" w:ascii="Times New Roman" w:hAnsi="Times New Roman"/>
          <w:b w:val="false"/>
          <w:bCs w:val="false"/>
          <w:color w:val="000000"/>
          <w:kern w:val="0"/>
          <w:sz w:val="28"/>
          <w:szCs w:val="28"/>
          <w:u w:val="none"/>
          <w:lang w:bidi="ar-SA"/>
        </w:rPr>
        <w:t xml:space="preserve"> внутреннего учета производятся не аккуратно, имеются помарки</w:t>
        <w:br/>
        <w:t xml:space="preserve">и исправления. </w:t>
      </w:r>
    </w:p>
    <w:p>
      <w:pPr>
        <w:pStyle w:val="Style36"/>
        <w:widowControl/>
        <w:tabs>
          <w:tab w:val="clear" w:pos="708"/>
          <w:tab w:val="left" w:pos="142" w:leader="none"/>
        </w:tabs>
        <w:bidi w:val="0"/>
        <w:spacing w:lineRule="auto" w:line="240" w:before="0" w:after="0"/>
        <w:ind w:left="0" w:right="0" w:firstLine="567"/>
        <w:jc w:val="both"/>
        <w:rPr/>
      </w:pPr>
      <w:r>
        <w:rPr>
          <w:rFonts w:ascii="Times New Roman" w:hAnsi="Times New Roman"/>
          <w:sz w:val="28"/>
          <w:szCs w:val="28"/>
        </w:rPr>
        <w:t>Контроль за оборотом оружия и патронов осуществлялся, в том числе,</w:t>
        <w:br/>
        <w:t xml:space="preserve">в рамках проверки </w:t>
      </w:r>
      <w:r>
        <w:rPr>
          <w:rFonts w:ascii="Times New Roman" w:hAnsi="Times New Roman"/>
          <w:b w:val="false"/>
          <w:sz w:val="28"/>
          <w:szCs w:val="28"/>
        </w:rPr>
        <w:t xml:space="preserve">условий хранения (сохранности) оружия и патронов. Всего   в текущем году проведено </w:t>
      </w:r>
      <w:r>
        <w:rPr>
          <w:rFonts w:eastAsia="Calibri" w:cs="Times New Roman" w:ascii="Times New Roman" w:hAnsi="Times New Roman" w:eastAsiaTheme="minorHAnsi"/>
          <w:b w:val="false"/>
          <w:color w:val="000000"/>
          <w:kern w:val="0"/>
          <w:sz w:val="28"/>
          <w:szCs w:val="28"/>
          <w:highlight w:val="white"/>
          <w:lang w:val="ru-RU" w:eastAsia="ru-RU" w:bidi="ar-SA"/>
        </w:rPr>
        <w:t>232</w:t>
      </w:r>
      <w:r>
        <w:rPr>
          <w:rFonts w:ascii="Times New Roman" w:hAnsi="Times New Roman"/>
          <w:b w:val="false"/>
          <w:sz w:val="28"/>
          <w:szCs w:val="28"/>
        </w:rPr>
        <w:t xml:space="preserve"> проверки</w:t>
      </w:r>
      <w:r>
        <w:rPr>
          <w:rFonts w:ascii="Times New Roman" w:hAnsi="Times New Roman"/>
          <w:b w:val="false"/>
          <w:sz w:val="28"/>
          <w:szCs w:val="28"/>
        </w:rPr>
        <w:t xml:space="preserve"> обеспечения сохранности оружия.</w:t>
      </w:r>
    </w:p>
    <w:p>
      <w:pPr>
        <w:pStyle w:val="Style36"/>
        <w:widowControl/>
        <w:tabs>
          <w:tab w:val="clear" w:pos="708"/>
          <w:tab w:val="left" w:pos="142" w:leader="none"/>
        </w:tabs>
        <w:suppressAutoHyphens w:val="true"/>
        <w:bidi w:val="0"/>
        <w:spacing w:lineRule="auto" w:line="240" w:before="0" w:after="0"/>
        <w:ind w:left="0" w:right="0" w:firstLine="567"/>
        <w:jc w:val="both"/>
        <w:rPr/>
      </w:pPr>
      <w:r>
        <w:rPr>
          <w:rFonts w:ascii="Times New Roman" w:hAnsi="Times New Roman"/>
          <w:sz w:val="28"/>
          <w:szCs w:val="28"/>
        </w:rPr>
        <w:t xml:space="preserve">С подконтрольными субъектами </w:t>
      </w:r>
      <w:r>
        <w:rPr>
          <w:rFonts w:eastAsia="Calibri" w:cs="Times New Roman" w:ascii="Times New Roman" w:hAnsi="Times New Roman" w:eastAsiaTheme="minorHAnsi"/>
          <w:color w:val="auto"/>
          <w:kern w:val="0"/>
          <w:sz w:val="28"/>
          <w:szCs w:val="28"/>
          <w:lang w:val="ru-RU" w:eastAsia="ru-RU" w:bidi="ar-SA"/>
        </w:rPr>
        <w:t>5</w:t>
      </w:r>
      <w:r>
        <w:rPr>
          <w:rFonts w:ascii="Times New Roman" w:hAnsi="Times New Roman"/>
          <w:sz w:val="28"/>
          <w:szCs w:val="28"/>
        </w:rPr>
        <w:t xml:space="preserve"> </w:t>
      </w:r>
      <w:r>
        <w:rPr>
          <w:rFonts w:eastAsia="Calibri" w:cs="Times New Roman" w:ascii="Times New Roman" w:hAnsi="Times New Roman" w:eastAsiaTheme="minorHAnsi"/>
          <w:color w:val="auto"/>
          <w:kern w:val="0"/>
          <w:sz w:val="28"/>
          <w:szCs w:val="28"/>
          <w:lang w:val="ru-RU" w:eastAsia="ru-RU" w:bidi="ar-SA"/>
        </w:rPr>
        <w:t>апреля</w:t>
      </w:r>
      <w:r>
        <w:rPr>
          <w:rFonts w:ascii="Times New Roman" w:hAnsi="Times New Roman"/>
          <w:sz w:val="28"/>
          <w:szCs w:val="28"/>
        </w:rPr>
        <w:t xml:space="preserve"> и </w:t>
      </w:r>
      <w:r>
        <w:rPr>
          <w:rFonts w:eastAsia="Calibri" w:cs="Times New Roman" w:ascii="Times New Roman" w:hAnsi="Times New Roman" w:eastAsiaTheme="minorHAnsi"/>
          <w:color w:val="auto"/>
          <w:kern w:val="0"/>
          <w:sz w:val="28"/>
          <w:szCs w:val="28"/>
          <w:lang w:val="ru-RU" w:eastAsia="ru-RU" w:bidi="ar-SA"/>
        </w:rPr>
        <w:t>30</w:t>
      </w:r>
      <w:r>
        <w:rPr>
          <w:rFonts w:ascii="Times New Roman" w:hAnsi="Times New Roman"/>
          <w:sz w:val="28"/>
          <w:szCs w:val="28"/>
        </w:rPr>
        <w:t xml:space="preserve"> </w:t>
      </w:r>
      <w:r>
        <w:rPr>
          <w:rFonts w:eastAsia="Calibri" w:cs="Times New Roman" w:ascii="Times New Roman" w:hAnsi="Times New Roman" w:eastAsiaTheme="minorHAnsi"/>
          <w:color w:val="auto"/>
          <w:kern w:val="0"/>
          <w:sz w:val="28"/>
          <w:szCs w:val="28"/>
          <w:lang w:val="ru-RU" w:eastAsia="ru-RU" w:bidi="ar-SA"/>
        </w:rPr>
        <w:t>нояб</w:t>
      </w:r>
      <w:r>
        <w:rPr>
          <w:rFonts w:ascii="Times New Roman" w:hAnsi="Times New Roman"/>
          <w:sz w:val="28"/>
          <w:szCs w:val="28"/>
        </w:rPr>
        <w:t xml:space="preserve">ря </w:t>
      </w:r>
      <w:r>
        <w:rPr>
          <w:rFonts w:eastAsia="Calibri" w:cs="Times New Roman" w:ascii="Times New Roman" w:hAnsi="Times New Roman" w:eastAsiaTheme="minorHAnsi"/>
          <w:color w:val="auto"/>
          <w:kern w:val="0"/>
          <w:sz w:val="28"/>
          <w:szCs w:val="28"/>
          <w:lang w:val="ru-RU" w:eastAsia="ru-RU" w:bidi="ar-SA"/>
        </w:rPr>
        <w:t>2023</w:t>
      </w:r>
      <w:r>
        <w:rPr>
          <w:rFonts w:ascii="Times New Roman" w:hAnsi="Times New Roman"/>
          <w:sz w:val="28"/>
          <w:szCs w:val="28"/>
        </w:rPr>
        <w:t xml:space="preserve"> года </w:t>
      </w:r>
      <w:r>
        <w:rPr>
          <w:rFonts w:eastAsia="Calibri" w:cs="Times New Roman" w:ascii="Times New Roman" w:hAnsi="Times New Roman" w:eastAsiaTheme="minorHAnsi"/>
          <w:color w:val="auto"/>
          <w:kern w:val="0"/>
          <w:sz w:val="28"/>
          <w:szCs w:val="28"/>
          <w:lang w:val="ru-RU" w:eastAsia="ru-RU" w:bidi="ar-SA"/>
        </w:rPr>
        <w:t>проведены</w:t>
      </w:r>
      <w:r>
        <w:rPr>
          <w:rFonts w:ascii="Times New Roman" w:hAnsi="Times New Roman"/>
          <w:sz w:val="28"/>
          <w:szCs w:val="28"/>
        </w:rPr>
        <w:t xml:space="preserve"> рабоч</w:t>
      </w:r>
      <w:r>
        <w:rPr>
          <w:rFonts w:eastAsia="Calibri" w:cs="Times New Roman" w:ascii="Times New Roman" w:hAnsi="Times New Roman" w:eastAsiaTheme="minorHAnsi"/>
          <w:color w:val="auto"/>
          <w:kern w:val="0"/>
          <w:sz w:val="28"/>
          <w:szCs w:val="28"/>
          <w:lang w:val="ru-RU" w:eastAsia="ru-RU" w:bidi="ar-SA"/>
        </w:rPr>
        <w:t>ие</w:t>
      </w:r>
      <w:r>
        <w:rPr>
          <w:rFonts w:ascii="Times New Roman" w:hAnsi="Times New Roman"/>
          <w:sz w:val="28"/>
          <w:szCs w:val="28"/>
        </w:rPr>
        <w:t xml:space="preserve"> встреч</w:t>
      </w:r>
      <w:r>
        <w:rPr>
          <w:rFonts w:eastAsia="Calibri" w:cs="Times New Roman" w:ascii="Times New Roman" w:hAnsi="Times New Roman" w:eastAsiaTheme="minorHAnsi"/>
          <w:color w:val="auto"/>
          <w:kern w:val="0"/>
          <w:sz w:val="28"/>
          <w:szCs w:val="28"/>
          <w:lang w:val="ru-RU" w:eastAsia="ru-RU" w:bidi="ar-SA"/>
        </w:rPr>
        <w:t>и</w:t>
      </w:r>
      <w:r>
        <w:rPr>
          <w:rFonts w:ascii="Times New Roman" w:hAnsi="Times New Roman"/>
          <w:sz w:val="28"/>
          <w:szCs w:val="28"/>
        </w:rPr>
        <w:t xml:space="preserve"> по вопросам осуществления государственного контроля,</w:t>
        <w:br/>
      </w:r>
      <w:r>
        <w:rPr>
          <w:rFonts w:eastAsia="Calibri" w:ascii="Times New Roman" w:hAnsi="Times New Roman" w:eastAsiaTheme="minorHAnsi"/>
          <w:sz w:val="28"/>
          <w:szCs w:val="28"/>
        </w:rPr>
        <w:t>в ходе котор</w:t>
      </w:r>
      <w:r>
        <w:rPr>
          <w:rFonts w:eastAsia="Calibri" w:cs="Times New Roman" w:ascii="Times New Roman" w:hAnsi="Times New Roman" w:eastAsiaTheme="minorHAnsi"/>
          <w:color w:val="auto"/>
          <w:kern w:val="0"/>
          <w:sz w:val="28"/>
          <w:szCs w:val="28"/>
          <w:lang w:val="ru-RU" w:eastAsia="ru-RU" w:bidi="ar-SA"/>
        </w:rPr>
        <w:t>ых</w:t>
      </w:r>
      <w:r>
        <w:rPr>
          <w:rFonts w:eastAsia="Calibri" w:ascii="Times New Roman" w:hAnsi="Times New Roman" w:eastAsiaTheme="minorHAnsi"/>
          <w:sz w:val="28"/>
          <w:szCs w:val="28"/>
        </w:rPr>
        <w:t xml:space="preserve"> разъяснены права и обязанности должностных лиц надзорного органа и подконтрольных субъектов, доведены: порядок проведения контрольно-надзорных мероприятий 202</w:t>
      </w:r>
      <w:r>
        <w:rPr>
          <w:rFonts w:eastAsia="Calibri" w:cs="Times New Roman" w:ascii="Times New Roman" w:hAnsi="Times New Roman" w:eastAsiaTheme="minorHAnsi"/>
          <w:color w:val="auto"/>
          <w:kern w:val="0"/>
          <w:sz w:val="28"/>
          <w:szCs w:val="28"/>
          <w:lang w:val="ru-RU" w:eastAsia="ru-RU" w:bidi="ar-SA"/>
        </w:rPr>
        <w:t>3, 2024</w:t>
      </w:r>
      <w:r>
        <w:rPr>
          <w:rFonts w:eastAsia="Calibri" w:ascii="Times New Roman" w:hAnsi="Times New Roman" w:eastAsiaTheme="minorHAnsi"/>
          <w:sz w:val="28"/>
          <w:szCs w:val="28"/>
        </w:rPr>
        <w:t xml:space="preserve"> год</w:t>
      </w:r>
      <w:r>
        <w:rPr>
          <w:rFonts w:eastAsia="Calibri" w:cs="Times New Roman" w:ascii="Times New Roman" w:hAnsi="Times New Roman" w:eastAsiaTheme="minorHAnsi"/>
          <w:color w:val="auto"/>
          <w:kern w:val="0"/>
          <w:sz w:val="28"/>
          <w:szCs w:val="28"/>
          <w:lang w:val="ru-RU" w:eastAsia="ru-RU" w:bidi="ar-SA"/>
        </w:rPr>
        <w:t>ах</w:t>
      </w:r>
      <w:r>
        <w:rPr>
          <w:rFonts w:eastAsia="Calibri" w:ascii="Times New Roman" w:hAnsi="Times New Roman" w:eastAsiaTheme="minorHAnsi"/>
          <w:sz w:val="28"/>
          <w:szCs w:val="28"/>
        </w:rPr>
        <w:t xml:space="preserve">; полномочия должностных лиц Росгвардии при осуществлении федерального государственного контроля (надзора); меры ответственности за наиболее распространенные нарушения; актуальные изменения действующего законодательства. </w:t>
      </w:r>
    </w:p>
    <w:p>
      <w:pPr>
        <w:pStyle w:val="Style36"/>
        <w:widowControl/>
        <w:tabs>
          <w:tab w:val="clear" w:pos="708"/>
          <w:tab w:val="left" w:pos="142" w:leader="none"/>
        </w:tabs>
        <w:suppressAutoHyphens w:val="true"/>
        <w:bidi w:val="0"/>
        <w:spacing w:lineRule="auto" w:line="240" w:before="0" w:after="0"/>
        <w:ind w:left="0" w:right="0" w:firstLine="567"/>
        <w:jc w:val="both"/>
        <w:rPr/>
      </w:pPr>
      <w:r>
        <w:rPr>
          <w:rFonts w:eastAsia="Calibri" w:ascii="Times New Roman" w:hAnsi="Times New Roman" w:eastAsiaTheme="minorHAnsi"/>
          <w:sz w:val="28"/>
          <w:szCs w:val="28"/>
        </w:rPr>
        <w:t xml:space="preserve">В течение года подконтрольным субъектам направлено </w:t>
      </w:r>
      <w:r>
        <w:rPr>
          <w:rFonts w:eastAsia="Calibri" w:cs="Times New Roman" w:ascii="Times New Roman" w:hAnsi="Times New Roman" w:eastAsiaTheme="minorHAnsi"/>
          <w:color w:val="auto"/>
          <w:kern w:val="0"/>
          <w:sz w:val="28"/>
          <w:szCs w:val="28"/>
          <w:lang w:val="ru-RU" w:eastAsia="ru-RU" w:bidi="ar-SA"/>
        </w:rPr>
        <w:t>7</w:t>
      </w:r>
      <w:r>
        <w:rPr>
          <w:rFonts w:eastAsia="Calibri" w:ascii="Times New Roman" w:hAnsi="Times New Roman" w:eastAsiaTheme="minorHAnsi"/>
          <w:sz w:val="28"/>
          <w:szCs w:val="28"/>
        </w:rPr>
        <w:t>6 информационных писем об усилении контроля за оборотом оружия.</w:t>
      </w:r>
    </w:p>
    <w:p>
      <w:pPr>
        <w:pStyle w:val="Normal"/>
        <w:widowControl w:val="false"/>
        <w:suppressAutoHyphens w:val="true"/>
        <w:spacing w:lineRule="auto" w:line="240" w:before="0" w:after="0"/>
        <w:ind w:firstLine="709"/>
        <w:jc w:val="both"/>
        <w:rPr>
          <w:rFonts w:ascii="Times New Roman" w:hAnsi="Times New Roman"/>
          <w:sz w:val="28"/>
          <w:szCs w:val="28"/>
        </w:rPr>
      </w:pPr>
      <w:r>
        <w:rPr/>
      </w:r>
    </w:p>
    <w:sectPr>
      <w:footerReference w:type="default" r:id="rId2"/>
      <w:type w:val="nextPage"/>
      <w:pgSz w:w="11906" w:h="16838"/>
      <w:pgMar w:left="1436" w:right="850" w:header="0" w:top="708" w:footer="708"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roman"/>
    <w:pitch w:val="variable"/>
  </w:font>
  <w:font w:name="Courier New">
    <w:charset w:val="01"/>
    <w:family w:val="roman"/>
    <w:pitch w:val="variable"/>
  </w:font>
  <w:font w:name="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3"/>
      <w:rPr/>
    </w:pPr>
    <w:r>
      <w:rPr/>
    </w:r>
  </w:p>
</w:ftr>
</file>

<file path=word/settings.xml><?xml version="1.0" encoding="utf-8"?>
<w:settings xmlns:w="http://schemas.openxmlformats.org/wordprocessingml/2006/main">
  <w:zoom w:percent="14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Normal (Web)" w:uiPriority="0"/>
    <w:lsdException w:name="Table Grid" w:uiPriority="59" w:semiHidden="0" w:unhideWhenUsed="0"/>
    <w:lsdException w:name="Placeholder Text" w:unhideWhenUsed="0"/>
    <w:lsdException w:name="No Spacing" w:uiPriority="0"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e7c3c"/>
    <w:pPr>
      <w:widowControl/>
      <w:suppressAutoHyphens w:val="true"/>
      <w:bidi w:val="0"/>
      <w:spacing w:lineRule="auto" w:line="276" w:before="0" w:after="200"/>
      <w:jc w:val="left"/>
    </w:pPr>
    <w:rPr>
      <w:rFonts w:ascii="Calibri" w:hAnsi="Calibri" w:eastAsia="Calibri" w:cs="Times New Roman" w:asciiTheme="minorHAnsi" w:eastAsiaTheme="minorHAnsi" w:hAnsiTheme="minorHAnsi"/>
      <w:color w:val="auto"/>
      <w:kern w:val="0"/>
      <w:sz w:val="22"/>
      <w:szCs w:val="22"/>
      <w:lang w:val="ru-RU" w:eastAsia="ru-RU" w:bidi="ar-SA"/>
    </w:rPr>
  </w:style>
  <w:style w:type="character" w:styleId="DefaultParagraphFont" w:default="1">
    <w:name w:val="Default Paragraph Font"/>
    <w:uiPriority w:val="1"/>
    <w:semiHidden/>
    <w:unhideWhenUsed/>
    <w:qFormat/>
    <w:rPr/>
  </w:style>
  <w:style w:type="character" w:styleId="Linenumber">
    <w:name w:val="line number"/>
    <w:basedOn w:val="DefaultParagraphFont"/>
    <w:uiPriority w:val="99"/>
    <w:semiHidden/>
    <w:unhideWhenUsed/>
    <w:qFormat/>
    <w:rsid w:val="00be7c3c"/>
    <w:rPr/>
  </w:style>
  <w:style w:type="character" w:styleId="Style14" w:customStyle="1">
    <w:name w:val="Верхний колонтитул Знак"/>
    <w:basedOn w:val="DefaultParagraphFont"/>
    <w:uiPriority w:val="99"/>
    <w:qFormat/>
    <w:rsid w:val="00be7c3c"/>
    <w:rPr>
      <w:rFonts w:ascii="Calibri" w:hAnsi="Calibri" w:eastAsia="Calibri" w:cs="Times New Roman"/>
      <w:lang w:eastAsia="ru-RU"/>
    </w:rPr>
  </w:style>
  <w:style w:type="character" w:styleId="Style15" w:customStyle="1">
    <w:name w:val="Нижний колонтитул Знак"/>
    <w:basedOn w:val="DefaultParagraphFont"/>
    <w:uiPriority w:val="99"/>
    <w:qFormat/>
    <w:rsid w:val="00be7c3c"/>
    <w:rPr>
      <w:rFonts w:ascii="Calibri" w:hAnsi="Calibri" w:eastAsia="Calibri" w:cs="Times New Roman"/>
      <w:lang w:eastAsia="ru-RU"/>
    </w:rPr>
  </w:style>
  <w:style w:type="character" w:styleId="Style16" w:customStyle="1">
    <w:name w:val="Текст сноски Знак"/>
    <w:basedOn w:val="DefaultParagraphFont"/>
    <w:link w:val="a7"/>
    <w:uiPriority w:val="99"/>
    <w:qFormat/>
    <w:rsid w:val="00f13e6d"/>
    <w:rPr>
      <w:rFonts w:ascii="Times New Roman" w:hAnsi="Times New Roman" w:eastAsia="Times New Roman" w:cs="Times New Roman"/>
      <w:sz w:val="20"/>
      <w:szCs w:val="20"/>
      <w:lang w:eastAsia="ru-RU"/>
    </w:rPr>
  </w:style>
  <w:style w:type="character" w:styleId="Style17" w:customStyle="1">
    <w:name w:val="Привязка сноски"/>
    <w:rsid w:val="00be7c3c"/>
    <w:rPr>
      <w:rFonts w:cs="Times New Roman"/>
      <w:vertAlign w:val="superscript"/>
    </w:rPr>
  </w:style>
  <w:style w:type="character" w:styleId="FootnoteCharacters">
    <w:name w:val="Footnote Characters"/>
    <w:basedOn w:val="DefaultParagraphFont"/>
    <w:uiPriority w:val="99"/>
    <w:qFormat/>
    <w:rsid w:val="00f6145e"/>
    <w:rPr>
      <w:rFonts w:cs="Times New Roman"/>
      <w:vertAlign w:val="superscript"/>
    </w:rPr>
  </w:style>
  <w:style w:type="character" w:styleId="Style18">
    <w:name w:val="Интернет-ссылка"/>
    <w:basedOn w:val="DefaultParagraphFont"/>
    <w:uiPriority w:val="99"/>
    <w:unhideWhenUsed/>
    <w:rsid w:val="00f6145e"/>
    <w:rPr>
      <w:color w:val="0000FF"/>
      <w:u w:val="single"/>
    </w:rPr>
  </w:style>
  <w:style w:type="character" w:styleId="Style19" w:customStyle="1">
    <w:name w:val="Цветовое выделение"/>
    <w:uiPriority w:val="99"/>
    <w:qFormat/>
    <w:rsid w:val="00573f25"/>
    <w:rPr>
      <w:b/>
      <w:bCs/>
      <w:color w:val="26282F"/>
    </w:rPr>
  </w:style>
  <w:style w:type="character" w:styleId="Style20" w:customStyle="1">
    <w:name w:val="Гипертекстовая ссылка"/>
    <w:basedOn w:val="Style19"/>
    <w:uiPriority w:val="99"/>
    <w:qFormat/>
    <w:rsid w:val="00573f25"/>
    <w:rPr>
      <w:b/>
      <w:bCs/>
      <w:color w:val="106BBE"/>
    </w:rPr>
  </w:style>
  <w:style w:type="character" w:styleId="Style21" w:customStyle="1">
    <w:name w:val="Символ сноски"/>
    <w:qFormat/>
    <w:rsid w:val="00be7c3c"/>
    <w:rPr/>
  </w:style>
  <w:style w:type="character" w:styleId="Style22" w:customStyle="1">
    <w:name w:val="Привязка концевой сноски"/>
    <w:rsid w:val="00be7c3c"/>
    <w:rPr>
      <w:vertAlign w:val="superscript"/>
    </w:rPr>
  </w:style>
  <w:style w:type="character" w:styleId="Style23" w:customStyle="1">
    <w:name w:val="Символ концевой сноски"/>
    <w:qFormat/>
    <w:rsid w:val="00be7c3c"/>
    <w:rPr/>
  </w:style>
  <w:style w:type="character" w:styleId="Style24">
    <w:name w:val="Выделение"/>
    <w:qFormat/>
    <w:rsid w:val="00be7c3c"/>
    <w:rPr>
      <w:i/>
      <w:iCs/>
    </w:rPr>
  </w:style>
  <w:style w:type="character" w:styleId="Style25" w:customStyle="1">
    <w:name w:val="Основной текст с отступом Знак"/>
    <w:basedOn w:val="DefaultParagraphFont"/>
    <w:link w:val="af6"/>
    <w:uiPriority w:val="99"/>
    <w:semiHidden/>
    <w:qFormat/>
    <w:rsid w:val="00f6145e"/>
    <w:rPr>
      <w:rFonts w:cs="Times New Roman"/>
      <w:sz w:val="22"/>
      <w:lang w:eastAsia="ru-RU"/>
    </w:rPr>
  </w:style>
  <w:style w:type="character" w:styleId="1" w:customStyle="1">
    <w:name w:val="Текст сноски Знак1"/>
    <w:basedOn w:val="DefaultParagraphFont"/>
    <w:link w:val="a7"/>
    <w:uiPriority w:val="99"/>
    <w:semiHidden/>
    <w:qFormat/>
    <w:rsid w:val="00f6145e"/>
    <w:rPr>
      <w:rFonts w:cs="Times New Roman"/>
      <w:szCs w:val="20"/>
      <w:lang w:eastAsia="ru-RU"/>
    </w:rPr>
  </w:style>
  <w:style w:type="paragraph" w:styleId="Style26" w:customStyle="1">
    <w:name w:val="Заголовок"/>
    <w:basedOn w:val="Normal"/>
    <w:next w:val="Style27"/>
    <w:qFormat/>
    <w:rsid w:val="00be7c3c"/>
    <w:pPr>
      <w:keepNext w:val="true"/>
      <w:spacing w:before="240" w:after="120"/>
    </w:pPr>
    <w:rPr>
      <w:rFonts w:ascii="Liberation Sans" w:hAnsi="Liberation Sans" w:eastAsia="Microsoft YaHei" w:cs="Mangal"/>
      <w:sz w:val="28"/>
      <w:szCs w:val="28"/>
    </w:rPr>
  </w:style>
  <w:style w:type="paragraph" w:styleId="Style27">
    <w:name w:val="Body Text"/>
    <w:basedOn w:val="Normal"/>
    <w:rsid w:val="00be7c3c"/>
    <w:pPr>
      <w:spacing w:before="0" w:after="140"/>
    </w:pPr>
    <w:rPr/>
  </w:style>
  <w:style w:type="paragraph" w:styleId="Style28">
    <w:name w:val="List"/>
    <w:basedOn w:val="Style27"/>
    <w:rsid w:val="00be7c3c"/>
    <w:pPr/>
    <w:rPr>
      <w:rFonts w:cs="Mangal"/>
    </w:rPr>
  </w:style>
  <w:style w:type="paragraph" w:styleId="Style29" w:customStyle="1">
    <w:name w:val="Caption"/>
    <w:basedOn w:val="Normal"/>
    <w:qFormat/>
    <w:rsid w:val="00be7c3c"/>
    <w:pPr>
      <w:suppressLineNumbers/>
      <w:spacing w:before="120" w:after="120"/>
    </w:pPr>
    <w:rPr>
      <w:rFonts w:cs="Mangal"/>
      <w:i/>
      <w:iCs/>
      <w:sz w:val="24"/>
      <w:szCs w:val="24"/>
    </w:rPr>
  </w:style>
  <w:style w:type="paragraph" w:styleId="Style30">
    <w:name w:val="Указатель"/>
    <w:basedOn w:val="Normal"/>
    <w:qFormat/>
    <w:pPr>
      <w:suppressLineNumbers/>
    </w:pPr>
    <w:rPr>
      <w:rFonts w:cs="Mangal"/>
    </w:rPr>
  </w:style>
  <w:style w:type="paragraph" w:styleId="Indexheading">
    <w:name w:val="index heading"/>
    <w:basedOn w:val="Normal"/>
    <w:qFormat/>
    <w:rsid w:val="00be7c3c"/>
    <w:pPr>
      <w:suppressLineNumbers/>
    </w:pPr>
    <w:rPr>
      <w:rFonts w:cs="Mangal"/>
    </w:rPr>
  </w:style>
  <w:style w:type="paragraph" w:styleId="ListParagraph">
    <w:name w:val="List Paragraph"/>
    <w:basedOn w:val="Normal"/>
    <w:uiPriority w:val="34"/>
    <w:qFormat/>
    <w:rsid w:val="00be7c3c"/>
    <w:pPr>
      <w:spacing w:before="0" w:after="200"/>
      <w:ind w:left="720" w:hanging="0"/>
      <w:contextualSpacing/>
    </w:pPr>
    <w:rPr/>
  </w:style>
  <w:style w:type="paragraph" w:styleId="NormalWeb">
    <w:name w:val="Normal (Web)"/>
    <w:basedOn w:val="Normal"/>
    <w:semiHidden/>
    <w:unhideWhenUsed/>
    <w:qFormat/>
    <w:rsid w:val="00be7c3c"/>
    <w:pPr>
      <w:spacing w:lineRule="auto" w:line="240" w:beforeAutospacing="1" w:afterAutospacing="1"/>
    </w:pPr>
    <w:rPr>
      <w:rFonts w:ascii="Times New Roman" w:hAnsi="Times New Roman" w:eastAsia="Times New Roman"/>
      <w:sz w:val="24"/>
      <w:szCs w:val="24"/>
    </w:rPr>
  </w:style>
  <w:style w:type="paragraph" w:styleId="11" w:customStyle="1">
    <w:name w:val="Абзац списка1"/>
    <w:basedOn w:val="Normal"/>
    <w:qFormat/>
    <w:rsid w:val="00be7c3c"/>
    <w:pPr>
      <w:spacing w:before="0" w:after="200"/>
      <w:ind w:left="720" w:hanging="0"/>
      <w:contextualSpacing/>
    </w:pPr>
    <w:rPr>
      <w:rFonts w:eastAsia="Times New Roman"/>
      <w:lang w:eastAsia="en-US"/>
    </w:rPr>
  </w:style>
  <w:style w:type="paragraph" w:styleId="ConsPlusTitle" w:customStyle="1">
    <w:name w:val="ConsPlusTitle"/>
    <w:uiPriority w:val="99"/>
    <w:qFormat/>
    <w:rsid w:val="00be7c3c"/>
    <w:pPr>
      <w:widowControl w:val="false"/>
      <w:suppressAutoHyphens w:val="true"/>
      <w:bidi w:val="0"/>
      <w:spacing w:before="0" w:after="0"/>
      <w:jc w:val="left"/>
    </w:pPr>
    <w:rPr>
      <w:rFonts w:ascii="Times New Roman" w:hAnsi="Times New Roman" w:eastAsia="Times New Roman" w:cs="Times New Roman"/>
      <w:b/>
      <w:bCs/>
      <w:color w:val="auto"/>
      <w:kern w:val="0"/>
      <w:sz w:val="24"/>
      <w:szCs w:val="24"/>
      <w:lang w:val="ru-RU" w:eastAsia="ru-RU" w:bidi="ar-SA"/>
    </w:rPr>
  </w:style>
  <w:style w:type="paragraph" w:styleId="Style31">
    <w:name w:val="Верхний и нижний колонтитулы"/>
    <w:basedOn w:val="Normal"/>
    <w:qFormat/>
    <w:pPr/>
    <w:rPr/>
  </w:style>
  <w:style w:type="paragraph" w:styleId="Style32" w:customStyle="1">
    <w:name w:val="Header"/>
    <w:basedOn w:val="Normal"/>
    <w:uiPriority w:val="99"/>
    <w:unhideWhenUsed/>
    <w:rsid w:val="00be7c3c"/>
    <w:pPr>
      <w:tabs>
        <w:tab w:val="clear" w:pos="708"/>
        <w:tab w:val="center" w:pos="4677" w:leader="none"/>
        <w:tab w:val="right" w:pos="9355" w:leader="none"/>
      </w:tabs>
      <w:spacing w:lineRule="auto" w:line="240" w:before="0" w:after="0"/>
    </w:pPr>
    <w:rPr/>
  </w:style>
  <w:style w:type="paragraph" w:styleId="Style33" w:customStyle="1">
    <w:name w:val="Footer"/>
    <w:basedOn w:val="Normal"/>
    <w:uiPriority w:val="99"/>
    <w:unhideWhenUsed/>
    <w:rsid w:val="00be7c3c"/>
    <w:pPr>
      <w:tabs>
        <w:tab w:val="clear" w:pos="708"/>
        <w:tab w:val="center" w:pos="4677" w:leader="none"/>
        <w:tab w:val="right" w:pos="9355" w:leader="none"/>
      </w:tabs>
      <w:spacing w:lineRule="auto" w:line="240" w:before="0" w:after="0"/>
    </w:pPr>
    <w:rPr/>
  </w:style>
  <w:style w:type="paragraph" w:styleId="ConsPlusNonformat" w:customStyle="1">
    <w:name w:val="ConsPlusNonformat"/>
    <w:qFormat/>
    <w:rsid w:val="00f13e6d"/>
    <w:pPr>
      <w:widowControl/>
      <w:suppressAutoHyphens w:val="true"/>
      <w:bidi w:val="0"/>
      <w:spacing w:before="0" w:after="0"/>
      <w:jc w:val="left"/>
    </w:pPr>
    <w:rPr>
      <w:rFonts w:ascii="Courier New" w:hAnsi="Courier New" w:eastAsia="Times New Roman" w:cs="Courier New"/>
      <w:color w:val="auto"/>
      <w:kern w:val="0"/>
      <w:sz w:val="22"/>
      <w:szCs w:val="20"/>
      <w:lang w:val="ru-RU" w:eastAsia="ru-RU" w:bidi="ar-SA"/>
    </w:rPr>
  </w:style>
  <w:style w:type="paragraph" w:styleId="Style34">
    <w:name w:val="Footnote Text"/>
    <w:basedOn w:val="Normal"/>
    <w:link w:val="a6"/>
    <w:uiPriority w:val="99"/>
    <w:rsid w:val="00f6145e"/>
    <w:pPr>
      <w:spacing w:lineRule="auto" w:line="240" w:before="0" w:after="0"/>
    </w:pPr>
    <w:rPr>
      <w:rFonts w:ascii="Times New Roman" w:hAnsi="Times New Roman" w:eastAsia="Times New Roman"/>
      <w:sz w:val="20"/>
      <w:szCs w:val="20"/>
    </w:rPr>
  </w:style>
  <w:style w:type="paragraph" w:styleId="ConsPlusNormal" w:customStyle="1">
    <w:name w:val="ConsPlusNormal"/>
    <w:qFormat/>
    <w:rsid w:val="00573f25"/>
    <w:pPr>
      <w:widowControl w:val="false"/>
      <w:suppressAutoHyphens w:val="true"/>
      <w:bidi w:val="0"/>
      <w:spacing w:before="0" w:after="0"/>
      <w:jc w:val="left"/>
    </w:pPr>
    <w:rPr>
      <w:rFonts w:ascii="Arial" w:hAnsi="Arial" w:eastAsia="" w:cs="Arial" w:eastAsiaTheme="minorEastAsia"/>
      <w:color w:val="auto"/>
      <w:kern w:val="0"/>
      <w:sz w:val="22"/>
      <w:szCs w:val="20"/>
      <w:lang w:val="ru-RU" w:eastAsia="ru-RU" w:bidi="ar-SA"/>
    </w:rPr>
  </w:style>
  <w:style w:type="paragraph" w:styleId="Style35" w:customStyle="1">
    <w:name w:val="Заголовок статьи"/>
    <w:basedOn w:val="Normal"/>
    <w:uiPriority w:val="99"/>
    <w:qFormat/>
    <w:rsid w:val="00573f25"/>
    <w:pPr>
      <w:widowControl w:val="false"/>
      <w:spacing w:lineRule="auto" w:line="240" w:before="0" w:after="0"/>
      <w:ind w:left="1612" w:hanging="892"/>
      <w:jc w:val="both"/>
    </w:pPr>
    <w:rPr>
      <w:rFonts w:ascii="Arial" w:hAnsi="Arial" w:eastAsia="" w:cs="Arial" w:eastAsiaTheme="minorEastAsia"/>
      <w:sz w:val="24"/>
      <w:szCs w:val="24"/>
    </w:rPr>
  </w:style>
  <w:style w:type="paragraph" w:styleId="Style36">
    <w:name w:val="Body Text Indent"/>
    <w:basedOn w:val="Normal"/>
    <w:link w:val="af7"/>
    <w:uiPriority w:val="99"/>
    <w:semiHidden/>
    <w:unhideWhenUsed/>
    <w:rsid w:val="00f6145e"/>
    <w:pPr>
      <w:spacing w:before="0" w:after="120"/>
      <w:ind w:left="283" w:hanging="0"/>
    </w:pPr>
    <w:rPr/>
  </w:style>
  <w:style w:type="paragraph" w:styleId="NoSpacing">
    <w:name w:val="No Spacing"/>
    <w:qFormat/>
    <w:rsid w:val="00f6145e"/>
    <w:pPr>
      <w:widowControl/>
      <w:suppressAutoHyphens w:val="true"/>
      <w:bidi w:val="0"/>
      <w:spacing w:before="0" w:after="0"/>
      <w:jc w:val="left"/>
    </w:pPr>
    <w:rPr>
      <w:rFonts w:ascii="Calibri" w:hAnsi="Calibri" w:eastAsia="Calibri" w:cs="Calibri" w:asciiTheme="minorHAnsi" w:eastAsiaTheme="minorHAnsi" w:hAnsiTheme="minorHAnsi"/>
      <w:color w:val="auto"/>
      <w:kern w:val="0"/>
      <w:sz w:val="22"/>
      <w:szCs w:val="22"/>
      <w:lang w:val="ru-RU" w:eastAsia="zh-CN" w:bidi="ar-SA"/>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E46CF3-8561-41DB-9027-C33B33EB0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Application>LibreOffice/6.4.7.2$Linux_X86_64 LibreOffice_project/40$Build-2</Application>
  <Pages>2</Pages>
  <Words>556</Words>
  <Characters>3949</Characters>
  <CharactersWithSpaces>4536</CharactersWithSpaces>
  <Paragraphs>11</Paragraphs>
  <Company>Kraftway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2018-12-13T09:12:00Z</dcterms:created>
  <dc:creator>Несветаев А.С.</dc:creator>
  <dc:description/>
  <dc:language>ru-RU</dc:language>
  <cp:lastModifiedBy/>
  <cp:lastPrinted>2022-12-29T13:40:52Z</cp:lastPrinted>
  <dcterms:modified xsi:type="dcterms:W3CDTF">2024-01-10T14:48:47Z</dcterms:modified>
  <cp:revision>35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Kraftway</vt:lpwstr>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